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  <w:spacing w:after="0" w:before="0"/>
      </w:pPr>
      <w:r>
        <w:rPr>
          <w:sz w:val="28"/>
          <w:b/>
          <w:szCs w:val="28"/>
          <w:rFonts w:cs="Times New Roman" w:eastAsia="Times New Roman"/>
          <w:lang w:eastAsia="ru-RU"/>
        </w:rPr>
        <w:t>Доклад</w:t>
      </w:r>
    </w:p>
    <w:p>
      <w:pPr>
        <w:pStyle w:val="style0"/>
        <w:jc w:val="center"/>
        <w:spacing w:after="0" w:before="0"/>
      </w:pPr>
      <w:r>
        <w:rPr>
          <w:sz w:val="28"/>
          <w:b/>
          <w:szCs w:val="28"/>
          <w:rFonts w:cs="Times New Roman" w:eastAsia="Times New Roman"/>
          <w:lang w:eastAsia="ru-RU"/>
        </w:rPr>
        <w:t xml:space="preserve">на 18 </w:t>
      </w:r>
      <w:r>
        <w:rPr>
          <w:sz w:val="28"/>
          <w:b/>
          <w:szCs w:val="28"/>
          <w:rFonts w:cs="Times New Roman"/>
        </w:rPr>
        <w:t>заседание бассейнового совета Уральского бассейнового округа</w:t>
      </w:r>
      <w:r>
        <w:rPr>
          <w:sz w:val="28"/>
          <w:szCs w:val="28"/>
          <w:rFonts w:cs="Times New Roman" w:eastAsia="Times New Roman"/>
          <w:lang w:eastAsia="ru-RU"/>
        </w:rPr>
        <w:t xml:space="preserve">                                                           </w:t>
      </w:r>
    </w:p>
    <w:p>
      <w:pPr>
        <w:pStyle w:val="style0"/>
        <w:jc w:val="both"/>
        <w:ind w:firstLine="708" w:left="0" w:right="0"/>
      </w:pPr>
      <w:r>
        <w:rPr/>
      </w:r>
    </w:p>
    <w:p>
      <w:pPr>
        <w:pStyle w:val="style0"/>
        <w:jc w:val="both"/>
        <w:ind w:firstLine="708" w:left="0" w:right="0"/>
      </w:pPr>
      <w:r>
        <w:rPr>
          <w:sz w:val="28"/>
          <w:szCs w:val="28"/>
          <w:lang w:val="ru-RU"/>
        </w:rPr>
        <w:t>Уважаемые члены бассейнового совета, уважаемый Председатель (Анатолий Александрович)!</w:t>
      </w:r>
    </w:p>
    <w:p>
      <w:pPr>
        <w:pStyle w:val="style0"/>
        <w:jc w:val="both"/>
        <w:ind w:firstLine="708" w:left="0" w:right="0"/>
      </w:pPr>
      <w:r>
        <w:rPr/>
      </w:r>
    </w:p>
    <w:p>
      <w:pPr>
        <w:pStyle w:val="style0"/>
        <w:jc w:val="both"/>
        <w:ind w:firstLine="708" w:left="0" w:right="0"/>
      </w:pPr>
      <w:r>
        <w:rPr>
          <w:sz w:val="28"/>
          <w:szCs w:val="28"/>
          <w:lang w:val="ru-RU"/>
        </w:rPr>
        <w:t>Хочу Вас проинформировать о ходе реализации решений бассейнового совета на территории Оренбургской области, а также исполнении планов работ бассейновых советов, реализуемых на территории Оренбургской области.</w:t>
      </w:r>
    </w:p>
    <w:p>
      <w:pPr>
        <w:pStyle w:val="style0"/>
        <w:jc w:val="both"/>
        <w:tabs>
          <w:tab w:leader="none" w:pos="567" w:val="left"/>
          <w:tab w:leader="none" w:pos="709" w:val="left"/>
        </w:tabs>
        <w:overflowPunct w:val="true"/>
        <w:spacing w:after="0" w:before="0" w:line="100" w:lineRule="atLeast"/>
      </w:pPr>
      <w:r>
        <w:rPr/>
      </w:r>
    </w:p>
    <w:p>
      <w:pPr>
        <w:pStyle w:val="style0"/>
        <w:jc w:val="both"/>
        <w:tabs>
          <w:tab w:leader="none" w:pos="567" w:val="left"/>
          <w:tab w:leader="none" w:pos="709" w:val="left"/>
        </w:tabs>
        <w:overflowPunct w:val="true"/>
        <w:ind w:firstLine="709" w:left="0" w:right="0"/>
        <w:spacing w:after="0" w:before="0" w:line="100" w:lineRule="atLeast"/>
      </w:pPr>
      <w:r>
        <w:rPr>
          <w:sz w:val="28"/>
          <w:szCs w:val="28"/>
          <w:rFonts w:cs="Times New Roman" w:eastAsia="Times New Roman"/>
          <w:lang w:eastAsia="ru-RU"/>
        </w:rPr>
        <w:t>За истекший период организовано и проведено 4 заседания рабочей группы.</w:t>
      </w:r>
    </w:p>
    <w:p>
      <w:pPr>
        <w:pStyle w:val="style0"/>
        <w:jc w:val="both"/>
        <w:tabs>
          <w:tab w:leader="none" w:pos="567" w:val="left"/>
          <w:tab w:leader="none" w:pos="709" w:val="left"/>
        </w:tabs>
        <w:overflowPunct w:val="true"/>
        <w:ind w:firstLine="709" w:left="0" w:right="0"/>
        <w:spacing w:after="0" w:before="0" w:line="100" w:lineRule="atLeast"/>
      </w:pPr>
      <w:r>
        <w:rPr>
          <w:sz w:val="28"/>
          <w:szCs w:val="28"/>
          <w:rFonts w:cs="Times New Roman" w:eastAsia="Times New Roman"/>
          <w:lang w:eastAsia="ru-RU"/>
        </w:rPr>
        <w:t>На заседаниях рассмотрены основные вопросы:</w:t>
      </w:r>
    </w:p>
    <w:p>
      <w:pPr>
        <w:pStyle w:val="style29"/>
        <w:numPr>
          <w:ilvl w:val="0"/>
          <w:numId w:val="3"/>
        </w:numPr>
        <w:jc w:val="both"/>
        <w:tabs>
          <w:tab w:leader="none" w:pos="567" w:val="left"/>
          <w:tab w:leader="none" w:pos="709" w:val="left"/>
          <w:tab w:leader="none" w:pos="993" w:val="left"/>
        </w:tabs>
        <w:overflowPunct w:val="true"/>
        <w:ind w:firstLine="709" w:left="0" w:right="0"/>
        <w:spacing w:after="0" w:before="0" w:line="100" w:lineRule="atLeast"/>
      </w:pPr>
      <w:r>
        <w:rPr>
          <w:sz w:val="28"/>
          <w:szCs w:val="28"/>
          <w:rFonts w:cs="Times New Roman" w:eastAsia="Times New Roman"/>
          <w:lang w:eastAsia="ru-RU"/>
        </w:rPr>
        <w:t>Подготовка к прохождению весеннего паводка 2017 года;</w:t>
      </w:r>
    </w:p>
    <w:p>
      <w:pPr>
        <w:pStyle w:val="style29"/>
        <w:numPr>
          <w:ilvl w:val="0"/>
          <w:numId w:val="3"/>
        </w:numPr>
        <w:jc w:val="both"/>
        <w:tabs>
          <w:tab w:leader="none" w:pos="567" w:val="left"/>
          <w:tab w:leader="none" w:pos="709" w:val="left"/>
          <w:tab w:leader="none" w:pos="993" w:val="left"/>
        </w:tabs>
        <w:overflowPunct w:val="true"/>
        <w:ind w:firstLine="709" w:left="0" w:right="0"/>
        <w:spacing w:after="0" w:before="0" w:line="100" w:lineRule="atLeast"/>
      </w:pPr>
      <w:r>
        <w:rPr>
          <w:sz w:val="28"/>
          <w:szCs w:val="28"/>
          <w:rFonts w:cs="Times New Roman" w:eastAsia="Times New Roman"/>
          <w:lang w:eastAsia="ru-RU"/>
        </w:rPr>
        <w:t>Мониторинг контроля качества трансграничных поверхностных водных объектов;</w:t>
      </w:r>
    </w:p>
    <w:p>
      <w:pPr>
        <w:pStyle w:val="style29"/>
        <w:numPr>
          <w:ilvl w:val="0"/>
          <w:numId w:val="3"/>
        </w:numPr>
        <w:jc w:val="both"/>
        <w:tabs>
          <w:tab w:leader="none" w:pos="567" w:val="left"/>
          <w:tab w:leader="none" w:pos="709" w:val="left"/>
          <w:tab w:leader="none" w:pos="993" w:val="left"/>
        </w:tabs>
        <w:overflowPunct w:val="true"/>
        <w:ind w:firstLine="709" w:left="0" w:right="0"/>
        <w:spacing w:after="0" w:before="0" w:line="100" w:lineRule="atLeast"/>
      </w:pPr>
      <w:r>
        <w:rPr>
          <w:sz w:val="28"/>
          <w:szCs w:val="28"/>
          <w:rFonts w:cs="Times New Roman" w:eastAsia="Times New Roman"/>
          <w:lang w:eastAsia="ru-RU"/>
        </w:rPr>
        <w:t>Вопросы строительства очистных сооружений;</w:t>
      </w:r>
    </w:p>
    <w:p>
      <w:pPr>
        <w:pStyle w:val="style29"/>
        <w:numPr>
          <w:ilvl w:val="0"/>
          <w:numId w:val="3"/>
        </w:numPr>
        <w:jc w:val="both"/>
        <w:tabs>
          <w:tab w:leader="none" w:pos="567" w:val="left"/>
          <w:tab w:leader="none" w:pos="709" w:val="left"/>
          <w:tab w:leader="none" w:pos="993" w:val="left"/>
        </w:tabs>
        <w:overflowPunct w:val="true"/>
        <w:ind w:firstLine="709" w:left="0" w:right="0"/>
        <w:spacing w:after="0" w:before="0" w:line="100" w:lineRule="atLeast"/>
      </w:pPr>
      <w:r>
        <w:rPr>
          <w:sz w:val="28"/>
          <w:szCs w:val="28"/>
          <w:rFonts w:cs="Times New Roman" w:eastAsia="Times New Roman"/>
          <w:lang w:eastAsia="ru-RU"/>
        </w:rPr>
        <w:t>Подготовка к защите бюджетных проектировок в Федеральном агентстве водных ресурсов на 2018 год и плановый период 2019-2020 годов.</w:t>
      </w:r>
    </w:p>
    <w:p>
      <w:pPr>
        <w:pStyle w:val="style29"/>
        <w:jc w:val="both"/>
        <w:tabs>
          <w:tab w:leader="none" w:pos="567" w:val="left"/>
          <w:tab w:leader="none" w:pos="709" w:val="left"/>
        </w:tabs>
        <w:overflowPunct w:val="true"/>
        <w:spacing w:after="0" w:before="0" w:line="100" w:lineRule="atLeast"/>
      </w:pPr>
      <w:r>
        <w:rPr/>
      </w:r>
    </w:p>
    <w:p>
      <w:pPr>
        <w:pStyle w:val="style0"/>
        <w:jc w:val="both"/>
        <w:tabs>
          <w:tab w:leader="none" w:pos="709" w:val="left"/>
          <w:tab w:leader="none" w:pos="993" w:val="left"/>
        </w:tabs>
        <w:ind w:firstLine="708" w:left="0" w:right="0"/>
      </w:pPr>
      <w:r>
        <w:rPr/>
      </w:r>
    </w:p>
    <w:p>
      <w:pPr>
        <w:pStyle w:val="style0"/>
        <w:jc w:val="both"/>
        <w:ind w:firstLine="708" w:left="0" w:right="0"/>
      </w:pPr>
      <w:r>
        <w:rPr>
          <w:sz w:val="28"/>
          <w:b/>
          <w:szCs w:val="28"/>
          <w:lang w:val="ru-RU"/>
        </w:rPr>
        <w:t>О ходе выполнения мероприятий Федеральной целевой программы «Развитие водохозяйственного комплекса Российской Федерации в 2012-2020 годах».</w:t>
      </w:r>
    </w:p>
    <w:p>
      <w:pPr>
        <w:pStyle w:val="style0"/>
        <w:jc w:val="both"/>
        <w:ind w:firstLine="708" w:left="0" w:right="0"/>
      </w:pPr>
      <w:r>
        <w:rPr/>
      </w:r>
    </w:p>
    <w:p>
      <w:pPr>
        <w:pStyle w:val="style0"/>
        <w:jc w:val="both"/>
        <w:ind w:firstLine="709" w:left="0" w:right="0"/>
        <w:spacing w:after="0" w:before="0" w:line="100" w:lineRule="atLeast"/>
      </w:pPr>
      <w:r>
        <w:rPr>
          <w:sz w:val="28"/>
          <w:szCs w:val="28"/>
          <w:rFonts w:cs="Times New Roman"/>
        </w:rPr>
        <w:t>В рамках подпрограммы «Развитие водохозяйственного комплекса  Оренбургской области»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rFonts w:cs="Times New Roman"/>
        </w:rPr>
        <w:t>государственной программы «Воспроизводство и использование природных ресурсов Оренбургской области» на 2014 - 2020 годы в 2017 году запланированы к выполнению следующие мероприятия:</w:t>
      </w:r>
    </w:p>
    <w:p>
      <w:pPr>
        <w:pStyle w:val="style29"/>
        <w:numPr>
          <w:ilvl w:val="0"/>
          <w:numId w:val="2"/>
        </w:numPr>
        <w:jc w:val="both"/>
        <w:tabs>
          <w:tab w:leader="none" w:pos="709" w:val="left"/>
          <w:tab w:leader="none" w:pos="851" w:val="left"/>
          <w:tab w:leader="none" w:pos="993" w:val="left"/>
        </w:tabs>
        <w:ind w:firstLine="709" w:left="0" w:right="0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завершение проектно-изыскательных работ по реконструкции гидротехнических сооружений пруда на р. Б. Бугурусланка в с. Аксаково Бугурусланского района Оренбургской области на сумму </w:t>
      </w:r>
      <w:r>
        <w:rPr>
          <w:sz w:val="28"/>
          <w:szCs w:val="28"/>
          <w:bCs/>
          <w:rFonts w:cs="Times New Roman" w:eastAsia="Times New Roman"/>
          <w:lang w:eastAsia="ar-SA"/>
        </w:rPr>
        <w:t>2,2 млн. рублей.</w:t>
      </w:r>
    </w:p>
    <w:p>
      <w:pPr>
        <w:pStyle w:val="style0"/>
        <w:jc w:val="both"/>
        <w:overflowPunct w:val="true"/>
        <w:ind w:firstLine="709" w:left="0" w:right="0"/>
        <w:spacing w:after="0" w:before="0" w:line="100" w:lineRule="atLeast"/>
      </w:pPr>
      <w:r>
        <w:rPr>
          <w:sz w:val="28"/>
          <w:szCs w:val="28"/>
          <w:rFonts w:cs="Times New Roman" w:eastAsia="Times New Roman"/>
          <w:lang w:eastAsia="ru-RU"/>
        </w:rPr>
        <w:t>2. выполнение проектно – изыскательных работ по капитальному ремонту г</w:t>
      </w:r>
      <w:r>
        <w:rPr>
          <w:sz w:val="28"/>
          <w:szCs w:val="28"/>
          <w:rFonts w:cs="Times New Roman"/>
        </w:rPr>
        <w:t xml:space="preserve">идротехнических сооружений Донгузского водохранилища Оренбургского района Оренбургской области с </w:t>
      </w:r>
      <w:r>
        <w:rPr>
          <w:sz w:val="28"/>
          <w:szCs w:val="28"/>
          <w:rFonts w:cs="Times New Roman" w:eastAsia="Times New Roman"/>
          <w:lang w:eastAsia="ru-RU"/>
        </w:rPr>
        <w:t>объёмом</w:t>
      </w:r>
      <w:r>
        <w:rPr>
          <w:sz w:val="28"/>
          <w:szCs w:val="28"/>
          <w:bCs/>
          <w:rFonts w:cs="Times New Roman" w:eastAsia="Times New Roman"/>
          <w:lang w:eastAsia="ar-SA"/>
        </w:rPr>
        <w:t xml:space="preserve"> финансирования – 5,0 млн. рублей (в том числе за счет средств муниципального бюджета 2,9 млн. рублей). </w:t>
      </w:r>
    </w:p>
    <w:p>
      <w:pPr>
        <w:pStyle w:val="style0"/>
        <w:jc w:val="both"/>
        <w:tabs>
          <w:tab w:leader="none" w:pos="709" w:val="left"/>
          <w:tab w:leader="none" w:pos="993" w:val="left"/>
        </w:tabs>
        <w:ind w:firstLine="708" w:left="0" w:right="0"/>
      </w:pPr>
      <w:r>
        <w:rPr/>
      </w:r>
    </w:p>
    <w:p>
      <w:pPr>
        <w:pStyle w:val="style0"/>
        <w:jc w:val="both"/>
        <w:ind w:firstLine="708" w:left="0" w:right="0"/>
      </w:pPr>
      <w:r>
        <w:rPr>
          <w:sz w:val="28"/>
          <w:szCs w:val="28"/>
          <w:lang w:val="ru-RU"/>
        </w:rPr>
        <w:t>На территории Оренбургской области продолжается работа по установлению границ водоохранных зон и прибрежных защитных полос водных объектов.</w:t>
      </w:r>
    </w:p>
    <w:p>
      <w:pPr>
        <w:pStyle w:val="style0"/>
        <w:jc w:val="both"/>
        <w:ind w:firstLine="708" w:left="0" w:right="0"/>
      </w:pPr>
      <w:r>
        <w:rPr>
          <w:sz w:val="28"/>
          <w:szCs w:val="28"/>
          <w:lang w:val="ru-RU"/>
        </w:rPr>
        <w:t xml:space="preserve">В результате предпринятых мер по охране водных объектов в 2017 году в пределах области проведены работы по </w:t>
      </w:r>
      <w:r>
        <w:rPr>
          <w:sz w:val="28"/>
          <w:szCs w:val="28"/>
          <w:bCs/>
          <w:rFonts w:cs="Times New Roman" w:eastAsia="Times New Roman"/>
          <w:lang w:eastAsia="ru-RU" w:val="ru-RU"/>
        </w:rPr>
        <w:t>определению границ водоохранных зон и прибрежных защитных полос водных объектов протяженностью 329,53 км на</w:t>
      </w:r>
      <w:r>
        <w:rPr>
          <w:sz w:val="28"/>
          <w:szCs w:val="28"/>
          <w:lang w:val="ru-RU"/>
        </w:rPr>
        <w:t xml:space="preserve"> сумму 589,95 тыс</w:t>
      </w:r>
      <w:r>
        <w:rPr>
          <w:sz w:val="28"/>
          <w:szCs w:val="28"/>
          <w:bCs/>
          <w:rFonts w:cs="Times New Roman" w:eastAsia="Times New Roman"/>
          <w:lang w:eastAsia="ru-RU" w:val="ru-RU"/>
        </w:rPr>
        <w:t xml:space="preserve">. рублей. К концу текущего года планируется выполнение проектных работ по установке вышеуказанных границ общей протяженностью 3 606 км границ на сумму свыше 22 млн. рублей.    </w:t>
      </w:r>
    </w:p>
    <w:p>
      <w:pPr>
        <w:pStyle w:val="style0"/>
        <w:jc w:val="both"/>
        <w:ind w:firstLine="709" w:left="0" w:right="0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На реализацию полномочий по осуществлению мер по предотвращению негативного воздействия вод и ликвидации его последствий в отношении водных объектов в 2017 году из федерального бюджета бюджету Оренбургской области выделены денежные средства в виде субвенций в размере 11,0 млн. рублей на проведение мероприятия по </w:t>
      </w:r>
      <w:r>
        <w:rPr>
          <w:sz w:val="28"/>
          <w:szCs w:val="28"/>
          <w:rFonts w:cs="Times New Roman" w:eastAsia="Times New Roman"/>
          <w:lang w:eastAsia="ru-RU"/>
        </w:rPr>
        <w:t xml:space="preserve">спрямлению русла р. Ток в с. Канчирово Александровского района Оренбургской области. </w:t>
      </w:r>
    </w:p>
    <w:p>
      <w:pPr>
        <w:pStyle w:val="style0"/>
        <w:jc w:val="both"/>
        <w:ind w:firstLine="709" w:left="0" w:right="0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В связи с внесением с 01.07.2017 в Градостроительный кодекс РФ изменения касающиеся, в том числе членства </w:t>
      </w:r>
      <w:r>
        <w:rPr>
          <w:sz w:val="28"/>
          <w:i/>
          <w:szCs w:val="28"/>
          <w:rFonts w:cs="Times New Roman"/>
        </w:rPr>
        <w:t xml:space="preserve">СРО (необходимо наличие членства в той СРО, которая расположена в том же субъекте, где зарегистрировано общество) с </w:t>
      </w:r>
      <w:r>
        <w:rPr>
          <w:sz w:val="28"/>
          <w:szCs w:val="28"/>
          <w:rFonts w:cs="Times New Roman"/>
        </w:rPr>
        <w:t>Обществом ООО «ВАРС» (победитель электронного аукциона) контракт не заключен.</w:t>
      </w:r>
    </w:p>
    <w:p>
      <w:pPr>
        <w:pStyle w:val="style0"/>
        <w:jc w:val="both"/>
        <w:spacing w:after="0" w:before="0" w:line="100" w:lineRule="atLeast"/>
      </w:pPr>
      <w:r>
        <w:rPr>
          <w:sz w:val="28"/>
          <w:shd w:fill="FFFF00"/>
          <w:szCs w:val="28"/>
          <w:rFonts w:cs="Times New Roman"/>
        </w:rPr>
        <w:t xml:space="preserve">15 </w:t>
      </w:r>
      <w:r>
        <w:rPr>
          <w:sz w:val="28"/>
          <w:shd w:fill="FFFF00"/>
          <w:szCs w:val="28"/>
          <w:rFonts w:cs="Times New Roman"/>
          <w:lang w:val="ru-RU"/>
        </w:rPr>
        <w:t>год -157,96 км на сумму во 11 водных объектов</w:t>
      </w:r>
    </w:p>
    <w:p>
      <w:pPr>
        <w:pStyle w:val="style0"/>
        <w:jc w:val="both"/>
        <w:spacing w:after="0" w:before="0" w:line="100" w:lineRule="atLeast"/>
      </w:pPr>
      <w:r>
        <w:rPr>
          <w:sz w:val="28"/>
          <w:shd w:fill="FFFF00"/>
          <w:szCs w:val="28"/>
          <w:rFonts w:cs="Times New Roman"/>
          <w:lang w:val="ru-RU"/>
        </w:rPr>
        <w:t xml:space="preserve">16 году 1006,56 км на сумму </w:t>
      </w:r>
      <w:r>
        <w:rPr>
          <w:sz w:val="28"/>
          <w:shd w:fill="FFFF00"/>
          <w:szCs w:val="28"/>
          <w:rFonts w:cs="Times New Roman"/>
          <w:lang w:val="ru-RU"/>
        </w:rPr>
        <w:t>16 во</w:t>
      </w:r>
      <w:r>
        <w:rPr>
          <w:sz w:val="28"/>
          <w:shd w:fill="FFFF00"/>
          <w:szCs w:val="28"/>
          <w:rFonts w:cs="Times New Roman"/>
          <w:lang w:val="ru-RU"/>
        </w:rPr>
        <w:t xml:space="preserve"> 5,5 млн.руб.</w:t>
      </w:r>
    </w:p>
    <w:p>
      <w:pPr>
        <w:pStyle w:val="style0"/>
        <w:jc w:val="both"/>
        <w:spacing w:after="0" w:before="0" w:line="100" w:lineRule="atLeast"/>
      </w:pPr>
      <w:r>
        <w:rPr>
          <w:sz w:val="28"/>
          <w:shd w:fill="FFFF00"/>
          <w:szCs w:val="28"/>
          <w:rFonts w:cs="Times New Roman"/>
          <w:lang w:val="ru-RU"/>
        </w:rPr>
        <w:t>16 год 574,56 км на 8,1 млн.руб. 15 ВО</w:t>
      </w:r>
    </w:p>
    <w:p>
      <w:pPr>
        <w:pStyle w:val="style0"/>
        <w:jc w:val="both"/>
        <w:spacing w:after="0" w:before="0" w:line="100" w:lineRule="atLeast"/>
      </w:pPr>
      <w:r>
        <w:rPr>
          <w:sz w:val="28"/>
          <w:shd w:fill="FFFF00"/>
          <w:szCs w:val="28"/>
          <w:rFonts w:cs="Times New Roman"/>
          <w:lang w:val="ru-RU"/>
        </w:rPr>
        <w:t>17 год  329,53  км 589,95 3ВО</w:t>
      </w:r>
    </w:p>
    <w:p>
      <w:pPr>
        <w:pStyle w:val="style0"/>
        <w:jc w:val="both"/>
        <w:spacing w:after="0" w:before="0" w:line="100" w:lineRule="atLeast"/>
      </w:pPr>
      <w:r>
        <w:rPr>
          <w:sz w:val="28"/>
          <w:shd w:fill="FFFF00"/>
          <w:szCs w:val="28"/>
          <w:rFonts w:cs="Times New Roman"/>
          <w:lang w:val="ru-RU"/>
        </w:rPr>
        <w:t>17 год 3606 км-22 млн.руб.    1400-10</w:t>
      </w:r>
    </w:p>
    <w:p>
      <w:pPr>
        <w:pStyle w:val="style0"/>
        <w:jc w:val="both"/>
        <w:spacing w:after="0" w:before="0" w:line="100" w:lineRule="atLeast"/>
      </w:pPr>
      <w:r>
        <w:rPr>
          <w:sz w:val="28"/>
          <w:shd w:fill="FFFF00"/>
          <w:szCs w:val="28"/>
          <w:rFonts w:cs="Times New Roman"/>
          <w:lang w:val="ru-RU"/>
        </w:rPr>
        <w:t>2006-133</w:t>
      </w:r>
    </w:p>
    <w:p>
      <w:pPr>
        <w:pStyle w:val="style0"/>
        <w:jc w:val="both"/>
        <w:spacing w:after="0" w:before="0" w:line="100" w:lineRule="atLeast"/>
      </w:pPr>
      <w:r>
        <w:rPr>
          <w:shd w:fill="FFFF00"/>
        </w:rPr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В связи с  необходимостью соблюдения сроков для осуществления новой закупки, предусмотренных контрактной системой Российской Федерации, а также сезонностью работ, выполнение в 2017 году полного объёма работ, предусмотренных проектно-сметной документацией, более не представлялось возможным. </w:t>
      </w:r>
    </w:p>
    <w:p>
      <w:pPr>
        <w:pStyle w:val="style0"/>
        <w:jc w:val="both"/>
        <w:ind w:firstLine="497" w:left="0" w:right="0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Данный объект включен в перечень мероприятий, финансируемых за счет средств федерального бюджета в 2018 году. </w:t>
      </w:r>
    </w:p>
    <w:p>
      <w:pPr>
        <w:pStyle w:val="style0"/>
        <w:jc w:val="both"/>
        <w:ind w:firstLine="497" w:left="0" w:right="0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Сумма 11 млн. рублей, а также образовавшая экономия денежных средств при проведении электронных аукционов, перераспределены на мероприятие по определение границ водоохранных зон и прибрежных защитных полос бассейна реки Ток, бассейна реки Кураган (приток Сакмары), бассейна реки Сорока, бассейна реки Донгуз, бассейна реки  Кондузла (со всеми притоками и ручьями) на территориях Бугурусланского, Оренбургского, Тоцкого, Красногвардейского, Александровского районов, Кувандыкского и Соль-Илецкого городских округов Оренбургской области.  </w:t>
      </w:r>
    </w:p>
    <w:p>
      <w:pPr>
        <w:pStyle w:val="style0"/>
        <w:jc w:val="both"/>
        <w:ind w:firstLine="708" w:left="0" w:right="0"/>
      </w:pPr>
      <w:r>
        <w:rPr>
          <w:sz w:val="28"/>
          <w:szCs w:val="28"/>
          <w:lang w:val="ru-RU"/>
        </w:rPr>
        <w:t xml:space="preserve">С целью проведения электронного аукциона, согласно требованиям контрактной системы РФ, просим Вас принять положительное решение о выполнение данного вида работ.    </w:t>
      </w:r>
    </w:p>
    <w:p>
      <w:pPr>
        <w:pStyle w:val="style0"/>
        <w:jc w:val="both"/>
        <w:tabs>
          <w:tab w:leader="none" w:pos="709" w:val="left"/>
          <w:tab w:leader="none" w:pos="993" w:val="left"/>
        </w:tabs>
        <w:ind w:firstLine="708" w:left="0" w:right="0"/>
      </w:pPr>
      <w:r>
        <w:rPr/>
      </w:r>
    </w:p>
    <w:p>
      <w:pPr>
        <w:pStyle w:val="style0"/>
        <w:jc w:val="both"/>
        <w:ind w:firstLine="708" w:left="0" w:right="0"/>
      </w:pPr>
      <w:r>
        <w:rPr>
          <w:sz w:val="28"/>
          <w:szCs w:val="28"/>
          <w:rFonts w:cs="Times New Roman"/>
          <w:lang w:val="ru-RU"/>
        </w:rPr>
        <w:t xml:space="preserve">Правительством Оренбургской области совместно с органами местного самоуправления проводится работа по выработке предложений об определении границ зон затопления, подтопления и карт (планов) объектов землеустройства. </w:t>
      </w:r>
    </w:p>
    <w:p>
      <w:pPr>
        <w:pStyle w:val="style0"/>
        <w:jc w:val="both"/>
        <w:ind w:firstLine="708" w:left="0" w:right="0"/>
      </w:pPr>
      <w:r>
        <w:rPr>
          <w:sz w:val="28"/>
          <w:szCs w:val="28"/>
          <w:rFonts w:cs="Times New Roman"/>
          <w:lang w:val="ru-RU"/>
        </w:rPr>
        <w:t xml:space="preserve">В настоящее время находятся на доработке в соответствии с замечаниями </w:t>
      </w:r>
      <w:r>
        <w:rPr>
          <w:sz w:val="28"/>
          <w:szCs w:val="28"/>
          <w:lang w:val="ru-RU"/>
        </w:rPr>
        <w:t>Департамента Росгидромета по Приволжскому федеральному округу</w:t>
      </w:r>
      <w:r>
        <w:rPr>
          <w:sz w:val="28"/>
          <w:szCs w:val="28"/>
          <w:rFonts w:cs="Times New Roman"/>
          <w:lang w:val="ru-RU"/>
        </w:rPr>
        <w:t xml:space="preserve"> карты (планы) и предложения по определению границ зон затопления территорий в границах города Бузулук и Новосергиевского района Оренбургской области.</w:t>
      </w:r>
    </w:p>
    <w:p>
      <w:pPr>
        <w:pStyle w:val="style0"/>
        <w:jc w:val="both"/>
        <w:ind w:firstLine="708" w:left="0" w:right="0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Так как, финансирование данных видов работ из средств федерального бюджета не предусмотрено, а также в связи с недостаточностью денежных средств у муниципальных образований, исполнение постановления продвигается достаточно медленно.     </w:t>
      </w:r>
    </w:p>
    <w:p>
      <w:pPr>
        <w:pStyle w:val="style0"/>
        <w:jc w:val="both"/>
        <w:ind w:firstLine="708" w:left="0" w:right="0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Исходя из этого, </w:t>
      </w:r>
      <w:bookmarkStart w:id="0" w:name="_GoBack"/>
      <w:r>
        <w:rPr>
          <w:sz w:val="28"/>
          <w:szCs w:val="28"/>
          <w:rFonts w:cs="Times New Roman"/>
        </w:rPr>
        <w:t xml:space="preserve">в настоящее время ведется работа по включению мероприятия «Определение границ зон затопления, подтопления» в подпрограмму </w:t>
      </w:r>
      <w:r>
        <w:rPr>
          <w:color w:val="000000"/>
          <w:sz w:val="28"/>
          <w:szCs w:val="28"/>
          <w:rFonts w:cs="Times New Roman"/>
        </w:rPr>
        <w:t>«</w:t>
      </w:r>
      <w:r>
        <w:rPr>
          <w:color w:val="000000"/>
          <w:sz w:val="28"/>
          <w:b/>
          <w:szCs w:val="28"/>
        </w:rPr>
        <w:t>Развитие водохозяйственного комплекса Оренбургской области</w:t>
      </w:r>
      <w:r>
        <w:rPr>
          <w:color w:val="000000"/>
          <w:sz w:val="28"/>
          <w:b/>
          <w:szCs w:val="28"/>
          <w:rFonts w:cs="Times New Roman"/>
        </w:rPr>
        <w:t xml:space="preserve">» </w:t>
      </w:r>
      <w:r>
        <w:rPr>
          <w:color w:val="000000"/>
          <w:sz w:val="28"/>
          <w:szCs w:val="28"/>
          <w:rFonts w:cs="Times New Roman"/>
        </w:rPr>
        <w:t>на 2014–2020 годы</w:t>
      </w:r>
      <w:r>
        <w:rPr>
          <w:color w:val="000000"/>
          <w:sz w:val="28"/>
          <w:b/>
          <w:szCs w:val="28"/>
          <w:rFonts w:cs="Times New Roman"/>
        </w:rPr>
        <w:t xml:space="preserve"> </w:t>
      </w:r>
      <w:r>
        <w:rPr>
          <w:color w:val="000000"/>
          <w:sz w:val="28"/>
          <w:szCs w:val="28"/>
          <w:rFonts w:cs="Times New Roman"/>
        </w:rPr>
        <w:t>г</w:t>
      </w:r>
      <w:r>
        <w:rPr>
          <w:sz w:val="28"/>
          <w:szCs w:val="28"/>
        </w:rPr>
        <w:t>осударственной программы «Воспроизводство и использование природных ресурсов Оренбургской области» на 2014–2020 годы.</w:t>
      </w:r>
    </w:p>
    <w:p>
      <w:pPr>
        <w:pStyle w:val="style0"/>
        <w:jc w:val="both"/>
        <w:ind w:firstLine="708" w:left="0" w:right="0"/>
      </w:pPr>
      <w:bookmarkEnd w:id="0"/>
      <w:r>
        <w:rPr/>
      </w:r>
    </w:p>
    <w:p>
      <w:pPr>
        <w:pStyle w:val="style0"/>
        <w:jc w:val="both"/>
        <w:widowControl/>
        <w:ind w:firstLine="709" w:left="0" w:right="0"/>
        <w:spacing w:after="0" w:before="0" w:line="232" w:lineRule="atLeast"/>
      </w:pPr>
      <w:r>
        <w:rPr>
          <w:sz w:val="28"/>
          <w:szCs w:val="28"/>
          <w:rFonts w:cs="Times New Roman"/>
        </w:rPr>
        <w:t xml:space="preserve">В рамках защиты бюджетных проектировок </w:t>
      </w:r>
      <w:r>
        <w:rPr>
          <w:color w:val="000000"/>
          <w:sz w:val="28"/>
          <w:szCs w:val="28"/>
          <w:rFonts w:cs="Times New Roman" w:eastAsia="Arial Unicode MS"/>
          <w:lang w:bidi="en-US"/>
        </w:rPr>
        <w:t xml:space="preserve">в сентябре текущего года </w:t>
      </w:r>
      <w:r>
        <w:rPr>
          <w:sz w:val="28"/>
          <w:szCs w:val="28"/>
          <w:rFonts w:cs="Times New Roman"/>
        </w:rPr>
        <w:t>в Федеральном агентстве водных ресурсов в соответствии с регламентом формирования бюджетных проектировок Росводресурсов на 2018 год и плановый период 2019 и 2020 годов п</w:t>
      </w:r>
      <w:r>
        <w:rPr>
          <w:color w:val="000000"/>
          <w:sz w:val="28"/>
          <w:szCs w:val="28"/>
          <w:rFonts w:cs="Times New Roman" w:eastAsia="Arial Unicode MS"/>
          <w:lang w:bidi="en-US"/>
        </w:rPr>
        <w:t>о объектам капитального строительства на рассмотрение представлялись обосновывающие материалы по объекту «Берегоукрепление левого берега р. Кураганка в г. Кувандыке Оренбургской области» протяженностью 964 метра общей стоимостью 91,3 млн. руб.</w:t>
      </w:r>
    </w:p>
    <w:p>
      <w:pPr>
        <w:pStyle w:val="style0"/>
        <w:jc w:val="both"/>
        <w:ind w:firstLine="720" w:left="0" w:right="0"/>
        <w:spacing w:after="0" w:before="0" w:line="100" w:lineRule="atLeast"/>
      </w:pPr>
      <w:r>
        <w:rPr>
          <w:sz w:val="28"/>
          <w:szCs w:val="28"/>
          <w:rFonts w:cs="Times New Roman" w:eastAsia="Times New Roman"/>
          <w:lang w:eastAsia="ru-RU"/>
        </w:rPr>
        <w:t xml:space="preserve">В связи с ограниченностью денежных средств в федеральном бюджете и отсутствием </w:t>
      </w:r>
      <w:r>
        <w:rPr>
          <w:sz w:val="28"/>
          <w:szCs w:val="28"/>
          <w:rFonts w:cs="Times New Roman"/>
        </w:rPr>
        <w:t>Поручения Правительства Российской Федерации</w:t>
      </w:r>
      <w:r>
        <w:rPr>
          <w:sz w:val="28"/>
          <w:szCs w:val="28"/>
          <w:rFonts w:cs="Times New Roman" w:eastAsia="Times New Roman"/>
          <w:lang w:eastAsia="ru-RU"/>
        </w:rPr>
        <w:t xml:space="preserve"> вопрос о финансировании вновь начинаемого объекта рекомендован к рассмотрению на 2019 год. </w:t>
      </w:r>
    </w:p>
    <w:p>
      <w:pPr>
        <w:pStyle w:val="style0"/>
        <w:jc w:val="both"/>
        <w:widowControl/>
        <w:suppressAutoHyphens w:val="true"/>
        <w:ind w:firstLine="709" w:left="0" w:right="0"/>
        <w:spacing w:after="0" w:before="0" w:line="100" w:lineRule="atLeast"/>
      </w:pPr>
      <w:r>
        <w:rPr>
          <w:color w:val="000000"/>
          <w:sz w:val="28"/>
          <w:szCs w:val="28"/>
          <w:rFonts w:cs="Times New Roman" w:eastAsia="Arial Unicode MS"/>
          <w:lang w:bidi="en-US"/>
        </w:rPr>
        <w:t xml:space="preserve">В 2018 году за счет субвенций из федерального бюджета в объеме 22,1 млн. рублей кроме мероприятия по спрямлению русла реки Ток в с. Канчирово Александровского района намечено выполнение 4-х мероприятий по закреплению на местности специальными информационными знаками границ  водоохранных зон и прибрежных защитных полос рек и озер общей протяженностью 3310,65 км  в границах городов Сорочинск, Новотроицк, Медногорск, Гайского и Кувандыкского городских округов, Адамовского, Беляевского, Светлинского Саракташского, Ташлинского, Тюльганского, Сакмарского, Октябрьского, Шарлыкского районов Оренбургской области. </w:t>
      </w:r>
    </w:p>
    <w:p>
      <w:pPr>
        <w:pStyle w:val="style0"/>
        <w:jc w:val="both"/>
        <w:widowControl/>
        <w:suppressAutoHyphens w:val="true"/>
        <w:ind w:firstLine="709" w:left="0" w:right="0"/>
        <w:spacing w:after="0" w:before="0" w:line="100" w:lineRule="atLeast"/>
      </w:pPr>
      <w:r>
        <w:rPr>
          <w:color w:val="000000"/>
          <w:sz w:val="28"/>
          <w:szCs w:val="28"/>
          <w:rFonts w:cs="Tahoma" w:eastAsia="Arial Unicode MS"/>
          <w:lang w:bidi="en-US"/>
        </w:rPr>
        <w:t>Хотелось бы отметить также, что в 2019 году Правительством Оренбургской области планируется проведение работ по  капитальному ремонту гидротехнических сооружений Донгузского водохранилища»</w:t>
      </w:r>
      <w:r>
        <w:rPr>
          <w:sz w:val="28"/>
          <w:szCs w:val="28"/>
          <w:rFonts w:cs="Times New Roman" w:eastAsia="Calibri"/>
        </w:rPr>
        <w:t xml:space="preserve">  и реконструкции гидротехнических сооружений пруда с плотиной  на р. Б. Бугурусланка при усадьбе, в которой 1811-1826 гг. жил  писатель Аксаков  Сергей Тимофеевич в с. Аксаково, Бугурусланского района Оренбургской области.</w:t>
      </w:r>
      <w:r>
        <w:rPr>
          <w:color w:val="000000"/>
          <w:sz w:val="28"/>
          <w:szCs w:val="28"/>
          <w:rFonts w:cs="Tahoma" w:eastAsia="Arial Unicode MS"/>
          <w:lang w:bidi="en-US"/>
        </w:rPr>
        <w:t xml:space="preserve"> Гидротехнические сооружения находятся в аварийном состоянии.</w:t>
      </w:r>
    </w:p>
    <w:p>
      <w:pPr>
        <w:pStyle w:val="style0"/>
        <w:jc w:val="both"/>
        <w:widowControl/>
        <w:suppressAutoHyphens w:val="true"/>
        <w:ind w:firstLine="709" w:left="0" w:right="0"/>
        <w:spacing w:after="0" w:before="0" w:line="100" w:lineRule="atLeast"/>
      </w:pPr>
      <w:r>
        <w:rPr>
          <w:color w:val="000000"/>
          <w:sz w:val="28"/>
          <w:szCs w:val="28"/>
          <w:rFonts w:cs="Tahoma" w:eastAsia="Arial Unicode MS"/>
          <w:lang w:bidi="en-US"/>
        </w:rPr>
        <w:t xml:space="preserve">Проектно-сметная документация по объектам находится в настоящее время на государственной экспертизе. </w:t>
      </w:r>
    </w:p>
    <w:p>
      <w:pPr>
        <w:pStyle w:val="style0"/>
        <w:jc w:val="both"/>
        <w:overflowPunct w:val="true"/>
        <w:ind w:firstLine="709" w:left="0" w:right="0"/>
        <w:spacing w:after="0" w:before="0" w:line="100" w:lineRule="atLeast"/>
      </w:pPr>
      <w:r>
        <w:rPr>
          <w:sz w:val="28"/>
          <w:szCs w:val="28"/>
          <w:rFonts w:cs="Times New Roman" w:eastAsia="Times New Roman"/>
          <w:lang w:eastAsia="ru-RU"/>
        </w:rPr>
        <w:t>При условии получения положительного заключения государственной экспертизы полный пакет обосновывающих документов в кратчайшие сроки будет направлен на рассмотрение в Федеральное агентство водных ресурсов.</w:t>
      </w:r>
    </w:p>
    <w:p>
      <w:pPr>
        <w:pStyle w:val="style0"/>
        <w:jc w:val="both"/>
        <w:widowControl/>
        <w:ind w:firstLine="709" w:left="0" w:right="0"/>
        <w:spacing w:after="0" w:before="0" w:line="232" w:lineRule="atLeast"/>
      </w:pPr>
      <w:r>
        <w:rPr>
          <w:sz w:val="28"/>
          <w:szCs w:val="28"/>
          <w:rFonts w:cs="Times New Roman" w:eastAsia="Times New Roman"/>
          <w:lang w:eastAsia="ru-RU"/>
        </w:rPr>
        <w:t xml:space="preserve">Учитывая важное социальное значение данных мероприятий предлагаем включить указанные объекты </w:t>
      </w:r>
      <w:r>
        <w:rPr>
          <w:sz w:val="28"/>
          <w:szCs w:val="28"/>
          <w:rFonts w:cs="Times New Roman"/>
        </w:rPr>
        <w:t>в федеральную целевую программу «Развитие водохозяйственного комплекса Российской Федерации в         2012–2020 годах» в целях софинансирования из федерального бюджета в 2018-2019 гг.</w:t>
      </w:r>
    </w:p>
    <w:p>
      <w:pPr>
        <w:pStyle w:val="style0"/>
        <w:jc w:val="both"/>
        <w:tabs>
          <w:tab w:leader="none" w:pos="709" w:val="left"/>
          <w:tab w:leader="none" w:pos="3480" w:val="left"/>
        </w:tabs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  </w:t>
      </w:r>
    </w:p>
    <w:p>
      <w:pPr>
        <w:pStyle w:val="style0"/>
        <w:jc w:val="both"/>
        <w:ind w:firstLine="708" w:left="0" w:right="0"/>
      </w:pPr>
      <w:r>
        <w:rPr>
          <w:sz w:val="28"/>
          <w:b/>
          <w:szCs w:val="28"/>
          <w:lang w:val="ru-RU"/>
        </w:rPr>
        <w:t>О безопасной эксплуатации водохозяйственных систем и ГТС.</w:t>
      </w:r>
    </w:p>
    <w:p>
      <w:pPr>
        <w:pStyle w:val="style0"/>
        <w:jc w:val="both"/>
        <w:ind w:firstLine="708" w:left="0" w:right="0"/>
      </w:pPr>
      <w:r>
        <w:rPr/>
      </w:r>
    </w:p>
    <w:p>
      <w:pPr>
        <w:pStyle w:val="style0"/>
        <w:jc w:val="both"/>
        <w:ind w:firstLine="709" w:left="0" w:right="0"/>
        <w:spacing w:after="0" w:before="0" w:line="100" w:lineRule="atLeast"/>
      </w:pPr>
      <w:r>
        <w:rPr>
          <w:sz w:val="28"/>
          <w:szCs w:val="28"/>
          <w:rFonts w:cs="Times New Roman" w:eastAsia="Times New Roman"/>
          <w:lang w:eastAsia="ru-RU"/>
        </w:rPr>
        <w:t>По состоянию на 01.02.2016 на территории Оренбургской области по данным Западно-Уральского управления Ростехнадзора</w:t>
      </w:r>
      <w:r>
        <w:rPr>
          <w:sz w:val="28"/>
          <w:b/>
          <w:szCs w:val="28"/>
          <w:rFonts w:cs="Times New Roman" w:eastAsia="Times New Roman"/>
          <w:lang w:eastAsia="ru-RU"/>
        </w:rPr>
        <w:t xml:space="preserve"> </w:t>
      </w:r>
      <w:r>
        <w:rPr>
          <w:sz w:val="28"/>
          <w:szCs w:val="28"/>
          <w:rFonts w:cs="Times New Roman" w:eastAsia="Times New Roman"/>
          <w:lang w:eastAsia="ru-RU"/>
        </w:rPr>
        <w:t xml:space="preserve">числилось 1605 гидротехнических сооружений, из них 277 водохозяйственных объектов с гидротехническими сооружениями, у которых не выявлен собственник или собственник которых неизвестен, либо от права собственности на которые собственник отказался. Значительное количество из них разрушено и не подлежит дальнейшей эксплуатации либо вообще отсутствует. </w:t>
      </w:r>
    </w:p>
    <w:p>
      <w:pPr>
        <w:pStyle w:val="style0"/>
        <w:jc w:val="both"/>
        <w:ind w:firstLine="567" w:left="0" w:right="-1"/>
        <w:spacing w:after="0" w:before="0" w:line="100" w:lineRule="atLeast"/>
      </w:pPr>
      <w:r>
        <w:rPr>
          <w:sz w:val="28"/>
          <w:szCs w:val="28"/>
          <w:rFonts w:cs="Times New Roman" w:eastAsia="Times New Roman"/>
          <w:lang w:eastAsia="ru-RU"/>
        </w:rPr>
        <w:t xml:space="preserve">Благодаря работе межведомственной комиссии по координации деятельности по обеспечению безопасной эксплуатации ГТС на территории Оренбургской области в 2016 году удалось актуализировать список гидротехнических сооружений на территории Оренбургской области. </w:t>
      </w:r>
    </w:p>
    <w:p>
      <w:pPr>
        <w:pStyle w:val="style0"/>
        <w:jc w:val="both"/>
        <w:ind w:firstLine="710" w:left="0" w:right="-1"/>
        <w:spacing w:after="0" w:before="0" w:line="100" w:lineRule="atLeast"/>
      </w:pPr>
      <w:r>
        <w:rPr>
          <w:sz w:val="28"/>
          <w:szCs w:val="28"/>
          <w:rFonts w:cs="Times New Roman" w:eastAsia="Calibri"/>
        </w:rPr>
        <w:t>По состоянию на 20.09.2017 общий перечень водохозяйственных объектов области насчитывает 1236 ГТС, а перечень бесхозяйных – 177 объектов.</w:t>
      </w:r>
    </w:p>
    <w:p>
      <w:pPr>
        <w:pStyle w:val="style0"/>
        <w:jc w:val="both"/>
        <w:ind w:firstLine="709" w:left="0" w:right="0"/>
        <w:spacing w:after="0" w:before="0" w:line="100" w:lineRule="atLeast"/>
      </w:pPr>
      <w:r>
        <w:rPr>
          <w:sz w:val="28"/>
          <w:szCs w:val="28"/>
          <w:rFonts w:cs="Times New Roman" w:eastAsia="Times New Roman"/>
          <w:lang w:eastAsia="ru-RU"/>
        </w:rPr>
        <w:t>Согласно дорожной карте, представленной муниципальными образованиями области, в текущем году из списков бесхозяйных планируется исключить еще 42 ГТС, в том числе 17 как фактически несуществующих, 25 – в связи с оформлением в собственность.</w:t>
      </w:r>
    </w:p>
    <w:p>
      <w:pPr>
        <w:pStyle w:val="style0"/>
        <w:jc w:val="both"/>
        <w:tabs>
          <w:tab w:leader="none" w:pos="709" w:val="left"/>
          <w:tab w:leader="none" w:pos="9497" w:val="left"/>
        </w:tabs>
        <w:ind w:firstLine="567" w:left="0" w:right="0"/>
        <w:spacing w:line="100" w:lineRule="atLeast"/>
      </w:pPr>
      <w:r>
        <w:rPr>
          <w:sz w:val="28"/>
          <w:szCs w:val="28"/>
          <w:rFonts w:cs="Times New Roman"/>
        </w:rPr>
        <w:t>Работа по исключению неработоспособных гидротехнических сооружений и оформлению действующих в собственность продолжается в текущем году.</w:t>
      </w:r>
    </w:p>
    <w:p>
      <w:pPr>
        <w:pStyle w:val="style0"/>
        <w:jc w:val="center"/>
        <w:tabs>
          <w:tab w:leader="none" w:pos="709" w:val="left"/>
          <w:tab w:leader="none" w:pos="1690" w:val="left"/>
        </w:tabs>
      </w:pPr>
      <w:r>
        <w:rPr/>
      </w:r>
    </w:p>
    <w:p>
      <w:pPr>
        <w:pStyle w:val="style0"/>
        <w:jc w:val="center"/>
        <w:tabs>
          <w:tab w:leader="none" w:pos="709" w:val="left"/>
          <w:tab w:leader="none" w:pos="1690" w:val="left"/>
        </w:tabs>
      </w:pPr>
      <w:r>
        <w:rPr>
          <w:sz w:val="28"/>
          <w:b/>
          <w:szCs w:val="28"/>
          <w:rFonts w:cs="Times New Roman"/>
        </w:rPr>
        <w:t>О реализации мероприятий, направленных на пресечение хозяйствующими субъектами нелегитимного водопользования.</w:t>
      </w:r>
    </w:p>
    <w:p>
      <w:pPr>
        <w:pStyle w:val="style0"/>
        <w:jc w:val="both"/>
        <w:ind w:firstLine="872" w:left="0" w:right="0"/>
        <w:spacing w:after="0" w:before="0" w:line="100" w:lineRule="atLeast"/>
      </w:pPr>
      <w:r>
        <w:rPr>
          <w:color w:val="000000"/>
          <w:sz w:val="28"/>
          <w:szCs w:val="28"/>
          <w:rFonts w:cs="Tahoma" w:eastAsia="Arial Unicode MS"/>
        </w:rPr>
        <w:t>В 2017 году поступление платы по договорам водопользования в федеральный бюджет составило 18,3 млн. руб. при плане 19,2 млн. руб</w:t>
      </w:r>
      <w:r>
        <w:rPr>
          <w:sz w:val="28"/>
          <w:szCs w:val="28"/>
          <w:rFonts w:cs="Times New Roman"/>
        </w:rPr>
        <w:t xml:space="preserve">. </w:t>
      </w:r>
    </w:p>
    <w:p>
      <w:pPr>
        <w:pStyle w:val="style0"/>
        <w:jc w:val="both"/>
        <w:ind w:firstLine="851" w:left="0" w:right="0"/>
        <w:spacing w:after="0" w:before="0" w:line="100" w:lineRule="atLeast"/>
      </w:pPr>
      <w:r>
        <w:rPr>
          <w:color w:val="000000"/>
          <w:sz w:val="28"/>
          <w:szCs w:val="28"/>
          <w:rFonts w:cs="Tahoma" w:eastAsia="Arial Unicode MS"/>
        </w:rPr>
        <w:t xml:space="preserve">Основную плату за пользование водными объектами вносят предприятия обрабатывающего комплекса, осуществляющие распределение энергии, газа и воды  и занимающиеся добычей полезных ископаемых. </w:t>
      </w:r>
    </w:p>
    <w:p>
      <w:pPr>
        <w:pStyle w:val="style0"/>
        <w:jc w:val="both"/>
        <w:ind w:firstLine="851" w:left="0" w:right="0"/>
        <w:spacing w:after="0" w:before="0" w:line="100" w:lineRule="atLeast"/>
      </w:pPr>
      <w:r>
        <w:rPr>
          <w:sz w:val="28"/>
          <w:szCs w:val="28"/>
          <w:rFonts w:cs="Times New Roman" w:eastAsia="Times New Roman"/>
          <w:lang w:eastAsia="ru-RU"/>
        </w:rPr>
        <w:t>Ежеквартально, при наличии заявлений от водопользователей, производится корректировка платы за пользование водными объектами.</w:t>
      </w:r>
    </w:p>
    <w:p>
      <w:pPr>
        <w:pStyle w:val="style0"/>
        <w:jc w:val="both"/>
        <w:ind w:firstLine="851" w:left="0" w:right="0"/>
        <w:spacing w:after="0" w:before="0" w:line="100" w:lineRule="atLeast"/>
      </w:pPr>
      <w:r>
        <w:rPr>
          <w:color w:val="000000"/>
          <w:sz w:val="28"/>
          <w:szCs w:val="28"/>
          <w:rFonts w:cs="Tahoma" w:eastAsia="Arial Unicode MS"/>
        </w:rPr>
        <w:t xml:space="preserve">Из 28 выявленных нелегитимных водопользователей в текущем году получили решения на сброс сточных вод ООО «Жилсервис» (Сакмарский район), ООО «Южное Агро», ООО «Энергоресурс» г. Кувандык; оформлен договор водопользования в целях забора воды для хоз.питьевых нужд МУП ЖКХ МО Первомайский поселковый совет. </w:t>
      </w:r>
    </w:p>
    <w:p>
      <w:pPr>
        <w:pStyle w:val="style0"/>
        <w:jc w:val="both"/>
        <w:ind w:firstLine="851" w:left="0" w:right="0"/>
        <w:spacing w:after="0" w:before="0" w:line="100" w:lineRule="atLeast"/>
      </w:pPr>
      <w:r>
        <w:rPr>
          <w:color w:val="000000"/>
          <w:sz w:val="28"/>
          <w:szCs w:val="28"/>
          <w:rFonts w:cs="Tahoma" w:eastAsia="Arial Unicode MS"/>
        </w:rPr>
        <w:t xml:space="preserve">Так, по состоянию на 01.09.2017 года в государственном водном реестре числится действующих 143 договора водопользования и 50 решений о предоставлении водных объектов в пользование. Восемь договоров заключены с крупными водопользователями.  </w:t>
      </w:r>
    </w:p>
    <w:p>
      <w:pPr>
        <w:pStyle w:val="style0"/>
        <w:jc w:val="both"/>
        <w:ind w:firstLine="540" w:left="0" w:right="0"/>
        <w:spacing w:after="0" w:before="0" w:line="100" w:lineRule="atLeast"/>
      </w:pPr>
      <w:r>
        <w:rPr>
          <w:sz w:val="28"/>
          <w:szCs w:val="28"/>
          <w:rFonts w:cs="Times New Roman" w:eastAsia="Times New Roman"/>
          <w:lang w:eastAsia="ru-RU"/>
        </w:rPr>
        <w:t xml:space="preserve">На основании п.16 Федерального закона от 26.07.2017 № 208-ФЗ «О внесении изменений в Водный кодекс Российской Федерации» с 3 квартала текущего года ведется работа по расторжению договоров водопользования </w:t>
      </w:r>
      <w:r>
        <w:rPr>
          <w:sz w:val="28"/>
          <w:szCs w:val="28"/>
          <w:rFonts w:cs="Times New Roman"/>
        </w:rPr>
        <w:t xml:space="preserve">для целей эксплуатации мостов, подводных и подземных переходов, трубопроводов, подводных линий связи, других линейных объектов с </w:t>
      </w:r>
      <w:r>
        <w:rPr>
          <w:sz w:val="28"/>
          <w:szCs w:val="28"/>
          <w:rFonts w:cs="Times New Roman" w:eastAsia="Times New Roman"/>
          <w:lang w:eastAsia="ru-RU"/>
        </w:rPr>
        <w:t>ООО «Бугурусланнефть», ПАО «Оренбургнефть», ООО «Юпитер-А», ООО «Газпром-нефть Оренбург».</w:t>
      </w:r>
    </w:p>
    <w:p>
      <w:pPr>
        <w:pStyle w:val="style0"/>
        <w:jc w:val="both"/>
        <w:ind w:firstLine="708" w:left="0" w:right="0"/>
      </w:pPr>
      <w:r>
        <w:rPr/>
      </w:r>
    </w:p>
    <w:p>
      <w:pPr>
        <w:pStyle w:val="style0"/>
        <w:jc w:val="both"/>
        <w:ind w:firstLine="851" w:left="0" w:right="0"/>
        <w:spacing w:after="0" w:before="0" w:line="100" w:lineRule="atLeast"/>
      </w:pPr>
      <w:r>
        <w:rPr/>
      </w:r>
    </w:p>
    <w:p>
      <w:pPr>
        <w:pStyle w:val="style0"/>
        <w:jc w:val="both"/>
        <w:widowControl/>
        <w:ind w:firstLine="709" w:left="0" w:right="0"/>
        <w:spacing w:after="0" w:before="0" w:line="232" w:lineRule="atLeast"/>
      </w:pPr>
      <w:r>
        <w:rPr>
          <w:sz w:val="28"/>
          <w:szCs w:val="28"/>
          <w:rFonts w:cs="Times New Roman"/>
        </w:rPr>
        <w:t>Благодарю за внимание!</w:t>
      </w:r>
    </w:p>
    <w:p>
      <w:pPr>
        <w:pStyle w:val="style0"/>
        <w:tabs>
          <w:tab w:leader="none" w:pos="709" w:val="left"/>
          <w:tab w:leader="none" w:pos="1690" w:val="left"/>
        </w:tabs>
      </w:pPr>
      <w:r>
        <w:rPr/>
      </w:r>
    </w:p>
    <w:sectPr>
      <w:formProt w:val="off"/>
      <w:pgSz w:h="16837" w:w="11905"/>
      <w:textDirection w:val="lrTb"/>
      <w:pgNumType w:fmt="decimal"/>
      <w:type w:val="nextPage"/>
      <w:headerReference r:id="rId2" w:type="default"/>
      <w:footerReference r:id="rId3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Arial">
    <w:charset w:val="cc"/>
    <w:family w:val="auto"/>
    <w:pitch w:val="default"/>
  </w:font>
</w:fonts>
</file>

<file path=word/footer1.xml><?xml version="1.0" encoding="utf-8"?>
<w:ftr xmlns:w="http://schemas.openxmlformats.org/wordprocessingml/2006/main">
  <w:p>
    <w:pPr>
      <w:pStyle w:val="style31"/>
      <w:jc w:val="right"/>
    </w:pPr>
    <w:r>
      <w:rPr/>
      <w:t>-</w:t>
    </w:r>
    <w:r>
      <w:fldChar w:fldCharType="begin"/>
    </w:r>
    <w:r>
      <w:rPr/>
      <w:fldChar w:fldCharType="begin"/>
    </w:r>
    <w:r>
      <w:instrText> PAGE </w:instrText>
    </w:r>
    <w:r>
      <w:fldChar w:fldCharType="separate"/>
    </w:r>
    <w:r>
      <w:t>6</w:t>
    </w:r>
    <w:r>
      <w:fldChar w:fldCharType="end"/>
    </w:r>
  </w:p>
  <w:p>
    <w:pPr>
      <w:pStyle w:val="style31"/>
    </w:pPr>
    <w:r>
      <w:rPr/>
    </w:r>
  </w:p>
</w:ftr>
</file>

<file path=word/header1.xml><?xml version="1.0" encoding="utf-8"?>
<w:hdr xmlns:w="http://schemas.openxmlformats.org/wordprocessingml/2006/main">
  <w:p>
    <w:pPr>
      <w:pStyle w:val="style30"/>
    </w:pPr>
    <w:r>
      <w:rPr/>
    </w:r>
  </w:p>
</w:hdr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lvlJc w:val="left"/>
      <w:lvlText w:val=""/>
      <w:pPr>
        <w:ind w:hanging="432" w:left="432"/>
      </w:pPr>
    </w:lvl>
    <w:lvl w:ilvl="1">
      <w:start w:val="1"/>
      <w:numFmt w:val="none"/>
      <w:lvlJc w:val="left"/>
      <w:lvlText w:val=""/>
      <w:pPr>
        <w:ind w:hanging="576" w:left="576"/>
      </w:pPr>
    </w:lvl>
    <w:lvl w:ilvl="2">
      <w:start w:val="1"/>
      <w:numFmt w:val="none"/>
      <w:lvlJc w:val="left"/>
      <w:lvlText w:val=""/>
      <w:pPr>
        <w:ind w:hanging="720" w:left="720"/>
      </w:pPr>
    </w:lvl>
    <w:lvl w:ilvl="3">
      <w:start w:val="1"/>
      <w:numFmt w:val="none"/>
      <w:lvlJc w:val="left"/>
      <w:lvlText w:val=""/>
      <w:pPr>
        <w:ind w:hanging="864" w:left="864"/>
      </w:pPr>
    </w:lvl>
    <w:lvl w:ilvl="4">
      <w:start w:val="1"/>
      <w:numFmt w:val="none"/>
      <w:lvlJc w:val="left"/>
      <w:lvlText w:val=""/>
      <w:pPr>
        <w:ind w:hanging="1008" w:left="1008"/>
      </w:pPr>
    </w:lvl>
    <w:lvl w:ilvl="5">
      <w:start w:val="1"/>
      <w:numFmt w:val="none"/>
      <w:lvlJc w:val="left"/>
      <w:lvlText w:val=""/>
      <w:pPr>
        <w:ind w:hanging="1152" w:left="1152"/>
      </w:pPr>
    </w:lvl>
    <w:lvl w:ilvl="6">
      <w:start w:val="1"/>
      <w:numFmt w:val="none"/>
      <w:lvlJc w:val="left"/>
      <w:lvlText w:val=""/>
      <w:pPr>
        <w:ind w:hanging="1296" w:left="1296"/>
      </w:pPr>
    </w:lvl>
    <w:lvl w:ilvl="7">
      <w:start w:val="1"/>
      <w:numFmt w:val="none"/>
      <w:lvlJc w:val="left"/>
      <w:lvlText w:val=""/>
      <w:pPr>
        <w:ind w:hanging="1440" w:left="1440"/>
      </w:pPr>
    </w:lvl>
    <w:lvl w:ilvl="8">
      <w:start w:val="1"/>
      <w:numFmt w:val="none"/>
      <w:lvlJc w:val="left"/>
      <w:lvlText w:val=""/>
      <w:pPr>
        <w:ind w:hanging="1584" w:left="1584"/>
      </w:pPr>
    </w:lvl>
  </w:abstractNum>
  <w:abstractNum w:abstractNumId="2">
    <w:lvl w:ilvl="0">
      <w:start w:val="1"/>
      <w:numFmt w:val="decimal"/>
      <w:lvlJc w:val="left"/>
      <w:lvlText w:val="%1."/>
      <w:pPr>
        <w:ind w:hanging="360" w:left="1069"/>
      </w:pPr>
    </w:lvl>
    <w:lvl w:ilvl="1">
      <w:start w:val="1"/>
      <w:numFmt w:val="lowerLetter"/>
      <w:lvlJc w:val="left"/>
      <w:lvlText w:val="%2."/>
      <w:pPr>
        <w:ind w:hanging="360" w:left="1789"/>
      </w:pPr>
    </w:lvl>
    <w:lvl w:ilvl="2">
      <w:start w:val="1"/>
      <w:numFmt w:val="lowerRoman"/>
      <w:lvlJc w:val="right"/>
      <w:lvlText w:val="%3."/>
      <w:pPr>
        <w:ind w:hanging="180" w:left="2509"/>
      </w:pPr>
    </w:lvl>
    <w:lvl w:ilvl="3">
      <w:start w:val="1"/>
      <w:numFmt w:val="decimal"/>
      <w:lvlJc w:val="left"/>
      <w:lvlText w:val="%4."/>
      <w:pPr>
        <w:ind w:hanging="360" w:left="3229"/>
      </w:pPr>
    </w:lvl>
    <w:lvl w:ilvl="4">
      <w:start w:val="1"/>
      <w:numFmt w:val="lowerLetter"/>
      <w:lvlJc w:val="left"/>
      <w:lvlText w:val="%5."/>
      <w:pPr>
        <w:ind w:hanging="360" w:left="3949"/>
      </w:pPr>
    </w:lvl>
    <w:lvl w:ilvl="5">
      <w:start w:val="1"/>
      <w:numFmt w:val="lowerRoman"/>
      <w:lvlJc w:val="right"/>
      <w:lvlText w:val="%6."/>
      <w:pPr>
        <w:ind w:hanging="180" w:left="4669"/>
      </w:pPr>
    </w:lvl>
    <w:lvl w:ilvl="6">
      <w:start w:val="1"/>
      <w:numFmt w:val="decimal"/>
      <w:lvlJc w:val="left"/>
      <w:lvlText w:val="%7."/>
      <w:pPr>
        <w:ind w:hanging="360" w:left="5389"/>
      </w:pPr>
    </w:lvl>
    <w:lvl w:ilvl="7">
      <w:start w:val="1"/>
      <w:numFmt w:val="lowerLetter"/>
      <w:lvlJc w:val="left"/>
      <w:lvlText w:val="%8."/>
      <w:pPr>
        <w:ind w:hanging="360" w:left="6109"/>
      </w:pPr>
    </w:lvl>
    <w:lvl w:ilvl="8">
      <w:start w:val="1"/>
      <w:numFmt w:val="lowerRoman"/>
      <w:lvlJc w:val="right"/>
      <w:lvlText w:val="%9."/>
      <w:pPr>
        <w:ind w:hanging="180" w:left="6829"/>
      </w:pPr>
    </w:lvl>
  </w:abstractNum>
  <w:abstractNum w:abstractNumId="3">
    <w:lvl w:ilvl="0">
      <w:start w:val="1"/>
      <w:numFmt w:val="decimal"/>
      <w:lvlJc w:val="left"/>
      <w:lvlText w:val="%1."/>
      <w:pPr>
        <w:ind w:hanging="360" w:left="720"/>
      </w:pPr>
    </w:lvl>
    <w:lvl w:ilvl="1">
      <w:start w:val="1"/>
      <w:numFmt w:val="lowerLetter"/>
      <w:lvlJc w:val="left"/>
      <w:lvlText w:val="%2."/>
      <w:pPr>
        <w:ind w:hanging="360" w:left="1440"/>
      </w:pPr>
    </w:lvl>
    <w:lvl w:ilvl="2">
      <w:start w:val="1"/>
      <w:numFmt w:val="lowerRoman"/>
      <w:lvlJc w:val="right"/>
      <w:lvlText w:val="%3."/>
      <w:pPr>
        <w:ind w:hanging="180" w:left="2160"/>
      </w:pPr>
    </w:lvl>
    <w:lvl w:ilvl="3">
      <w:start w:val="1"/>
      <w:numFmt w:val="decimal"/>
      <w:lvlJc w:val="left"/>
      <w:lvlText w:val="%4."/>
      <w:pPr>
        <w:ind w:hanging="360" w:left="2880"/>
      </w:pPr>
    </w:lvl>
    <w:lvl w:ilvl="4">
      <w:start w:val="1"/>
      <w:numFmt w:val="lowerLetter"/>
      <w:lvlJc w:val="left"/>
      <w:lvlText w:val="%5."/>
      <w:pPr>
        <w:ind w:hanging="360" w:left="3600"/>
      </w:pPr>
    </w:lvl>
    <w:lvl w:ilvl="5">
      <w:start w:val="1"/>
      <w:numFmt w:val="lowerRoman"/>
      <w:lvlJc w:val="right"/>
      <w:lvlText w:val="%6."/>
      <w:pPr>
        <w:ind w:hanging="180" w:left="4320"/>
      </w:pPr>
    </w:lvl>
    <w:lvl w:ilvl="6">
      <w:start w:val="1"/>
      <w:numFmt w:val="decimal"/>
      <w:lvlJc w:val="left"/>
      <w:lvlText w:val="%7."/>
      <w:pPr>
        <w:ind w:hanging="360" w:left="5040"/>
      </w:pPr>
    </w:lvl>
    <w:lvl w:ilvl="7">
      <w:start w:val="1"/>
      <w:numFmt w:val="lowerLetter"/>
      <w:lvlJc w:val="left"/>
      <w:lvlText w:val="%8."/>
      <w:pPr>
        <w:ind w:hanging="360" w:left="5760"/>
      </w:pPr>
    </w:lvl>
    <w:lvl w:ilvl="8">
      <w:start w:val="1"/>
      <w:numFmt w:val="lowerRoman"/>
      <w:lvlJc w:val="right"/>
      <w:lvlText w:val="%9.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jc w:val="left"/>
      <w:widowControl/>
      <w:tabs>
        <w:tab w:leader="none" w:pos="709" w:val="left"/>
      </w:tabs>
      <w:suppressAutoHyphens w:val="true"/>
      <w:spacing w:after="0" w:before="0" w:line="100" w:lineRule="atLeast"/>
    </w:pPr>
    <w:rPr>
      <w:color w:val="000000"/>
      <w:sz w:val="24"/>
      <w:szCs w:val="24"/>
      <w:rFonts w:ascii="Times New Roman" w:cs="Tahoma" w:eastAsia="Arial Unicode MS" w:hAnsi="Times New Roman"/>
      <w:lang w:bidi="en-US" w:eastAsia="en-US" w:val="en-US"/>
    </w:rPr>
  </w:style>
  <w:style w:styleId="style1" w:type="paragraph">
    <w:name w:val="Заголовок 1"/>
    <w:basedOn w:val="style0"/>
    <w:next w:val="style25"/>
    <w:pPr>
      <w:outlineLvl w:val="0"/>
      <w:numPr>
        <w:ilvl w:val="0"/>
        <w:numId w:val="1"/>
      </w:numPr>
      <w:jc w:val="center"/>
      <w:widowControl/>
      <w:spacing w:after="108" w:before="108" w:line="100" w:lineRule="atLeast"/>
    </w:pPr>
    <w:rPr>
      <w:color w:val="26282F"/>
      <w:sz w:val="24"/>
      <w:b/>
      <w:szCs w:val="24"/>
      <w:bCs/>
      <w:rFonts w:ascii="Arial" w:cs="Arial" w:eastAsia="Times New Roman" w:hAnsi="Arial"/>
      <w:lang w:eastAsia="ru-RU"/>
    </w:rPr>
  </w:style>
  <w:style w:styleId="style15" w:type="character">
    <w:name w:val="ListLabel 1"/>
    <w:next w:val="style15"/>
    <w:rPr/>
  </w:style>
  <w:style w:styleId="style16" w:type="character">
    <w:name w:val="ListLabel 2"/>
    <w:next w:val="style16"/>
    <w:rPr/>
  </w:style>
  <w:style w:styleId="style17" w:type="character">
    <w:name w:val="ListLabel 3"/>
    <w:next w:val="style17"/>
    <w:rPr/>
  </w:style>
  <w:style w:styleId="style18" w:type="character">
    <w:name w:val="Default Paragraph Font"/>
    <w:next w:val="style18"/>
    <w:rPr/>
  </w:style>
  <w:style w:styleId="style19" w:type="character">
    <w:name w:val="Верхний колонтитул Знак"/>
    <w:basedOn w:val="style18"/>
    <w:next w:val="style19"/>
    <w:rPr/>
  </w:style>
  <w:style w:styleId="style20" w:type="character">
    <w:name w:val="Нижний колонтитул Знак"/>
    <w:basedOn w:val="style18"/>
    <w:next w:val="style20"/>
    <w:rPr/>
  </w:style>
  <w:style w:styleId="style21" w:type="character">
    <w:name w:val="Текст выноски Знак"/>
    <w:basedOn w:val="style18"/>
    <w:next w:val="style21"/>
    <w:rPr/>
  </w:style>
  <w:style w:styleId="style22" w:type="character">
    <w:name w:val="Гипертекстовая ссылка"/>
    <w:next w:val="style22"/>
    <w:rPr/>
  </w:style>
  <w:style w:styleId="style23" w:type="character">
    <w:name w:val="Заголовок 1 Знак"/>
    <w:basedOn w:val="style18"/>
    <w:next w:val="style23"/>
    <w:rPr/>
  </w:style>
  <w:style w:styleId="style24" w:type="paragraph">
    <w:name w:val="Заголовок"/>
    <w:basedOn w:val="style0"/>
    <w:next w:val="style25"/>
    <w:pPr>
      <w:keepNext/>
      <w:spacing w:after="120" w:before="240"/>
    </w:pPr>
    <w:rPr>
      <w:sz w:val="28"/>
      <w:szCs w:val="28"/>
      <w:rFonts w:ascii="Arial" w:cs="Tahoma" w:eastAsia="MS Mincho" w:hAnsi="Arial"/>
    </w:rPr>
  </w:style>
  <w:style w:styleId="style25" w:type="paragraph">
    <w:name w:val="Основной текст"/>
    <w:basedOn w:val="style0"/>
    <w:next w:val="style25"/>
    <w:pPr>
      <w:spacing w:after="120" w:before="0"/>
    </w:pPr>
    <w:rPr/>
  </w:style>
  <w:style w:styleId="style26" w:type="paragraph">
    <w:name w:val="Список"/>
    <w:basedOn w:val="style25"/>
    <w:next w:val="style26"/>
    <w:pPr/>
    <w:rPr>
      <w:rFonts w:ascii="Arial" w:cs="Tahoma" w:hAnsi="Arial"/>
    </w:rPr>
  </w:style>
  <w:style w:styleId="style27" w:type="paragraph">
    <w:name w:val="Название"/>
    <w:basedOn w:val="style0"/>
    <w:next w:val="style27"/>
    <w:pPr>
      <w:suppressLineNumbers/>
      <w:spacing w:after="120" w:before="120"/>
    </w:pPr>
    <w:rPr>
      <w:sz w:val="20"/>
      <w:i/>
      <w:szCs w:val="24"/>
      <w:iCs/>
      <w:rFonts w:ascii="Arial" w:cs="Tahoma" w:hAnsi="Arial"/>
    </w:rPr>
  </w:style>
  <w:style w:styleId="style28" w:type="paragraph">
    <w:name w:val="Указатель"/>
    <w:basedOn w:val="style0"/>
    <w:next w:val="style28"/>
    <w:pPr>
      <w:suppressLineNumbers/>
    </w:pPr>
    <w:rPr>
      <w:rFonts w:ascii="Arial" w:cs="Tahoma" w:hAnsi="Arial"/>
    </w:rPr>
  </w:style>
  <w:style w:styleId="style29" w:type="paragraph">
    <w:name w:val="List Paragraph"/>
    <w:basedOn w:val="style0"/>
    <w:next w:val="style29"/>
    <w:pPr/>
    <w:rPr/>
  </w:style>
  <w:style w:styleId="style30" w:type="paragraph">
    <w:name w:val="Верхний колонтитул"/>
    <w:basedOn w:val="style0"/>
    <w:next w:val="style30"/>
    <w:pPr>
      <w:tabs>
        <w:tab w:leader="none" w:pos="4677" w:val="center"/>
        <w:tab w:leader="none" w:pos="9355" w:val="right"/>
      </w:tabs>
      <w:suppressLineNumbers/>
      <w:spacing w:after="0" w:before="0" w:line="100" w:lineRule="atLeast"/>
    </w:pPr>
    <w:rPr/>
  </w:style>
  <w:style w:styleId="style31" w:type="paragraph">
    <w:name w:val="Нижний колонтитул"/>
    <w:basedOn w:val="style0"/>
    <w:next w:val="style31"/>
    <w:pPr>
      <w:tabs>
        <w:tab w:leader="none" w:pos="4677" w:val="center"/>
        <w:tab w:leader="none" w:pos="9355" w:val="right"/>
      </w:tabs>
      <w:suppressLineNumbers/>
      <w:spacing w:after="0" w:before="0" w:line="100" w:lineRule="atLeast"/>
    </w:pPr>
    <w:rPr/>
  </w:style>
  <w:style w:styleId="style32" w:type="paragraph">
    <w:name w:val="Balloon Text"/>
    <w:basedOn w:val="style0"/>
    <w:next w:val="style32"/>
    <w:pPr/>
    <w:rPr/>
  </w:style>
  <w:style w:styleId="style33" w:type="paragraph">
    <w:name w:val="Char Char Знак Знак Знак Знак Знак Знак Знак Знак Знак Знак"/>
    <w:basedOn w:val="style0"/>
    <w:next w:val="style33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2017-08-28T12:58:00.00Z</dcterms:created>
  <dc:creator>NNA</dc:creator>
  <cp:lastModifiedBy>1</cp:lastModifiedBy>
  <cp:lastPrinted>2017-09-25T05:36:00.00Z</cp:lastPrinted>
  <dcterms:modified xsi:type="dcterms:W3CDTF">2017-09-25T07:28:00.00Z</dcterms:modified>
  <cp:revision>7</cp:revision>
</cp:coreProperties>
</file>